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F59C" w14:textId="77777777" w:rsidR="00FE067E" w:rsidRPr="002C7AFF" w:rsidRDefault="003C6034" w:rsidP="00CC1F3B">
      <w:pPr>
        <w:pStyle w:val="TitlePageOrigin"/>
        <w:rPr>
          <w:color w:val="auto"/>
        </w:rPr>
      </w:pPr>
      <w:r w:rsidRPr="002C7AFF">
        <w:rPr>
          <w:caps w:val="0"/>
          <w:color w:val="auto"/>
        </w:rPr>
        <w:t>WEST VIRGINIA LEGISLATURE</w:t>
      </w:r>
    </w:p>
    <w:p w14:paraId="502F2183" w14:textId="104D7659" w:rsidR="00CD36CF" w:rsidRPr="002C7AFF" w:rsidRDefault="00CD36CF" w:rsidP="00CC1F3B">
      <w:pPr>
        <w:pStyle w:val="TitlePageSession"/>
        <w:rPr>
          <w:color w:val="auto"/>
        </w:rPr>
      </w:pPr>
      <w:r w:rsidRPr="002C7AFF">
        <w:rPr>
          <w:color w:val="auto"/>
        </w:rPr>
        <w:t>20</w:t>
      </w:r>
      <w:r w:rsidR="00EC5E63" w:rsidRPr="002C7AFF">
        <w:rPr>
          <w:color w:val="auto"/>
        </w:rPr>
        <w:t>2</w:t>
      </w:r>
      <w:r w:rsidR="00463F23" w:rsidRPr="002C7AFF">
        <w:rPr>
          <w:color w:val="auto"/>
        </w:rPr>
        <w:t>4</w:t>
      </w:r>
      <w:r w:rsidRPr="002C7AFF">
        <w:rPr>
          <w:color w:val="auto"/>
        </w:rPr>
        <w:t xml:space="preserve"> </w:t>
      </w:r>
      <w:r w:rsidR="003C6034" w:rsidRPr="002C7AFF">
        <w:rPr>
          <w:caps w:val="0"/>
          <w:color w:val="auto"/>
        </w:rPr>
        <w:t>REGULAR SESSION</w:t>
      </w:r>
    </w:p>
    <w:p w14:paraId="3B256F23" w14:textId="77777777" w:rsidR="00CD36CF" w:rsidRPr="002C7AFF" w:rsidRDefault="004A16FE" w:rsidP="00CC1F3B">
      <w:pPr>
        <w:pStyle w:val="TitlePageBillPrefix"/>
        <w:rPr>
          <w:color w:val="auto"/>
        </w:rPr>
      </w:pPr>
      <w:sdt>
        <w:sdtPr>
          <w:rPr>
            <w:color w:val="auto"/>
          </w:rPr>
          <w:tag w:val="IntroDate"/>
          <w:id w:val="-1236936958"/>
          <w:placeholder>
            <w:docPart w:val="7A25DC1A19C34CA9A7DCC61F12E17099"/>
          </w:placeholder>
          <w:text/>
        </w:sdtPr>
        <w:sdtEndPr/>
        <w:sdtContent>
          <w:r w:rsidR="00AE48A0" w:rsidRPr="002C7AFF">
            <w:rPr>
              <w:color w:val="auto"/>
            </w:rPr>
            <w:t>Introduced</w:t>
          </w:r>
        </w:sdtContent>
      </w:sdt>
    </w:p>
    <w:p w14:paraId="262575AC" w14:textId="6D280A91" w:rsidR="00CD36CF" w:rsidRPr="002C7AFF" w:rsidRDefault="004A16FE" w:rsidP="00CC1F3B">
      <w:pPr>
        <w:pStyle w:val="BillNumber"/>
        <w:rPr>
          <w:color w:val="auto"/>
        </w:rPr>
      </w:pPr>
      <w:sdt>
        <w:sdtPr>
          <w:rPr>
            <w:color w:val="auto"/>
          </w:rPr>
          <w:tag w:val="Chamber"/>
          <w:id w:val="893011969"/>
          <w:lock w:val="sdtLocked"/>
          <w:placeholder>
            <w:docPart w:val="E3677700ADD144BA875A02D6FE03D6C0"/>
          </w:placeholder>
          <w:dropDownList>
            <w:listItem w:displayText="House" w:value="House"/>
            <w:listItem w:displayText="Senate" w:value="Senate"/>
          </w:dropDownList>
        </w:sdtPr>
        <w:sdtEndPr/>
        <w:sdtContent>
          <w:r w:rsidR="00C33434" w:rsidRPr="002C7AFF">
            <w:rPr>
              <w:color w:val="auto"/>
            </w:rPr>
            <w:t>House</w:t>
          </w:r>
        </w:sdtContent>
      </w:sdt>
      <w:r w:rsidR="00303684" w:rsidRPr="002C7AFF">
        <w:rPr>
          <w:color w:val="auto"/>
        </w:rPr>
        <w:t xml:space="preserve"> </w:t>
      </w:r>
      <w:r w:rsidR="00CD36CF" w:rsidRPr="002C7AFF">
        <w:rPr>
          <w:color w:val="auto"/>
        </w:rPr>
        <w:t xml:space="preserve">Bill </w:t>
      </w:r>
      <w:sdt>
        <w:sdtPr>
          <w:rPr>
            <w:color w:val="auto"/>
          </w:rPr>
          <w:tag w:val="BNum"/>
          <w:id w:val="1645317809"/>
          <w:lock w:val="sdtLocked"/>
          <w:placeholder>
            <w:docPart w:val="BFBE716019D14D18A8C5B3F8E6A1AE68"/>
          </w:placeholder>
          <w:text/>
        </w:sdtPr>
        <w:sdtEndPr/>
        <w:sdtContent>
          <w:r>
            <w:rPr>
              <w:color w:val="auto"/>
            </w:rPr>
            <w:t>4858</w:t>
          </w:r>
        </w:sdtContent>
      </w:sdt>
    </w:p>
    <w:p w14:paraId="062006CD" w14:textId="2C2ED4AB" w:rsidR="00CD36CF" w:rsidRPr="002C7AFF" w:rsidRDefault="00CD36CF" w:rsidP="00CC1F3B">
      <w:pPr>
        <w:pStyle w:val="Sponsors"/>
        <w:rPr>
          <w:color w:val="auto"/>
        </w:rPr>
      </w:pPr>
      <w:r w:rsidRPr="002C7AFF">
        <w:rPr>
          <w:color w:val="auto"/>
        </w:rPr>
        <w:t xml:space="preserve">By </w:t>
      </w:r>
      <w:sdt>
        <w:sdtPr>
          <w:rPr>
            <w:color w:val="auto"/>
          </w:rPr>
          <w:tag w:val="Sponsors"/>
          <w:id w:val="1589585889"/>
          <w:placeholder>
            <w:docPart w:val="E4641651B3A64ECEB02766FBA91CA2C6"/>
          </w:placeholder>
          <w:text w:multiLine="1"/>
        </w:sdtPr>
        <w:sdtEndPr/>
        <w:sdtContent>
          <w:r w:rsidR="00301833" w:rsidRPr="002C7AFF">
            <w:rPr>
              <w:color w:val="auto"/>
            </w:rPr>
            <w:t>Delegate Foster</w:t>
          </w:r>
        </w:sdtContent>
      </w:sdt>
    </w:p>
    <w:p w14:paraId="15B1AC9C" w14:textId="577F1DF7" w:rsidR="00E831B3" w:rsidRPr="002C7AFF" w:rsidRDefault="00CD36CF" w:rsidP="00CC1F3B">
      <w:pPr>
        <w:pStyle w:val="References"/>
        <w:rPr>
          <w:color w:val="auto"/>
        </w:rPr>
      </w:pPr>
      <w:r w:rsidRPr="002C7AFF">
        <w:rPr>
          <w:color w:val="auto"/>
        </w:rPr>
        <w:t>[</w:t>
      </w:r>
      <w:sdt>
        <w:sdtPr>
          <w:rPr>
            <w:color w:val="auto"/>
          </w:rPr>
          <w:tag w:val="References"/>
          <w:id w:val="-1043047873"/>
          <w:placeholder>
            <w:docPart w:val="EB8993959F82434299118D91E6FCF8EE"/>
          </w:placeholder>
          <w:text w:multiLine="1"/>
        </w:sdtPr>
        <w:sdtEndPr/>
        <w:sdtContent>
          <w:r w:rsidR="004A16FE">
            <w:rPr>
              <w:color w:val="auto"/>
            </w:rPr>
            <w:t>Introduced January 17, 2024; Referred to the Committee on the Judiciary</w:t>
          </w:r>
        </w:sdtContent>
      </w:sdt>
      <w:r w:rsidRPr="002C7AFF">
        <w:rPr>
          <w:color w:val="auto"/>
        </w:rPr>
        <w:t>]</w:t>
      </w:r>
    </w:p>
    <w:p w14:paraId="5C3790BF" w14:textId="4C493027" w:rsidR="00303684" w:rsidRPr="002C7AFF" w:rsidRDefault="0000526A" w:rsidP="00CC1F3B">
      <w:pPr>
        <w:pStyle w:val="TitleSection"/>
        <w:rPr>
          <w:color w:val="auto"/>
        </w:rPr>
      </w:pPr>
      <w:r w:rsidRPr="002C7AFF">
        <w:rPr>
          <w:color w:val="auto"/>
        </w:rPr>
        <w:lastRenderedPageBreak/>
        <w:t>A BILL</w:t>
      </w:r>
      <w:r w:rsidR="00301833" w:rsidRPr="002C7AFF">
        <w:rPr>
          <w:color w:val="auto"/>
        </w:rPr>
        <w:t xml:space="preserve"> to amend and reenact §51-1-17 of the Code of West Virginia, 1931, as amended, relating to </w:t>
      </w:r>
      <w:r w:rsidR="00D55719" w:rsidRPr="002C7AFF">
        <w:rPr>
          <w:color w:val="auto"/>
        </w:rPr>
        <w:t>requiring a report of the statements of charges against a judge in this state made by Judicial Investigation Commission and the Office of Disciplinary Counsel to be sent, annually, to the Legislature's Joint Committee on the Judiciary.</w:t>
      </w:r>
    </w:p>
    <w:p w14:paraId="5AB8D271" w14:textId="77777777" w:rsidR="00303684" w:rsidRPr="002C7AFF" w:rsidRDefault="00303684" w:rsidP="00CC1F3B">
      <w:pPr>
        <w:pStyle w:val="EnactingClause"/>
        <w:rPr>
          <w:color w:val="auto"/>
        </w:rPr>
      </w:pPr>
      <w:r w:rsidRPr="002C7AFF">
        <w:rPr>
          <w:color w:val="auto"/>
        </w:rPr>
        <w:t>Be it enacted by the Legislature of West Virginia:</w:t>
      </w:r>
    </w:p>
    <w:p w14:paraId="7F6E17D5" w14:textId="77777777" w:rsidR="003C6034" w:rsidRPr="002C7AFF" w:rsidRDefault="003C6034" w:rsidP="00CC1F3B">
      <w:pPr>
        <w:pStyle w:val="EnactingClause"/>
        <w:rPr>
          <w:color w:val="auto"/>
        </w:rPr>
        <w:sectPr w:rsidR="003C6034" w:rsidRPr="002C7AFF" w:rsidSect="00A26C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6043A1" w14:textId="77777777" w:rsidR="00D05AC1" w:rsidRPr="002C7AFF" w:rsidRDefault="00D05AC1" w:rsidP="00F957A1">
      <w:pPr>
        <w:pStyle w:val="ArticleHeading"/>
        <w:rPr>
          <w:color w:val="auto"/>
        </w:rPr>
        <w:sectPr w:rsidR="00D05AC1" w:rsidRPr="002C7AFF" w:rsidSect="00A26C10">
          <w:type w:val="continuous"/>
          <w:pgSz w:w="12240" w:h="15840" w:code="1"/>
          <w:pgMar w:top="1440" w:right="1440" w:bottom="1440" w:left="1440" w:header="720" w:footer="720" w:gutter="0"/>
          <w:lnNumType w:countBy="1" w:restart="newSection"/>
          <w:cols w:space="720"/>
          <w:titlePg/>
          <w:docGrid w:linePitch="360"/>
        </w:sectPr>
      </w:pPr>
      <w:r w:rsidRPr="002C7AFF">
        <w:rPr>
          <w:color w:val="auto"/>
        </w:rPr>
        <w:t>ARTICLE 1. SUPREME COURT OF APPEALS.</w:t>
      </w:r>
    </w:p>
    <w:p w14:paraId="0617B740" w14:textId="77777777" w:rsidR="00D05AC1" w:rsidRPr="002C7AFF" w:rsidRDefault="00D05AC1" w:rsidP="001C1940">
      <w:pPr>
        <w:pStyle w:val="SectionHeading"/>
        <w:rPr>
          <w:color w:val="auto"/>
        </w:rPr>
      </w:pPr>
      <w:r w:rsidRPr="002C7AFF">
        <w:rPr>
          <w:color w:val="auto"/>
        </w:rPr>
        <w:t>§51-1-17. Administrative office of Supreme Court of Appeals -- duties of director.</w:t>
      </w:r>
    </w:p>
    <w:p w14:paraId="56DDCEDE" w14:textId="77777777" w:rsidR="00D05AC1" w:rsidRPr="002C7AFF" w:rsidRDefault="00D05AC1" w:rsidP="001C1940">
      <w:pPr>
        <w:pStyle w:val="SectionBody"/>
        <w:rPr>
          <w:color w:val="auto"/>
        </w:rPr>
      </w:pPr>
      <w:r w:rsidRPr="002C7AFF">
        <w:rPr>
          <w:color w:val="auto"/>
        </w:rPr>
        <w:t>The director shall, when authorized by the Supreme Court of Appeals, be the administrative officer of said court and shall have charge, under the supervision and direction of the Supreme Court of Appeals, of:</w:t>
      </w:r>
    </w:p>
    <w:p w14:paraId="1655F278" w14:textId="77777777" w:rsidR="00D05AC1" w:rsidRPr="002C7AFF" w:rsidRDefault="00D05AC1" w:rsidP="001C1940">
      <w:pPr>
        <w:pStyle w:val="SectionBody"/>
        <w:rPr>
          <w:color w:val="auto"/>
        </w:rPr>
      </w:pPr>
      <w:r w:rsidRPr="002C7AFF">
        <w:rPr>
          <w:color w:val="auto"/>
        </w:rPr>
        <w:t>(a) All administrative matters relating to the offices of the clerks of the circuit and intermediary courts and of the offices of justice of the peace and all other clerical and administrative personnel of said courts; but nothing contained in this article shall be construed as affecting the authority of the courts to appoint their administrative or clerical personnel;</w:t>
      </w:r>
    </w:p>
    <w:p w14:paraId="7A439492" w14:textId="77777777" w:rsidR="00D05AC1" w:rsidRPr="002C7AFF" w:rsidRDefault="00D05AC1" w:rsidP="001C1940">
      <w:pPr>
        <w:pStyle w:val="SectionBody"/>
        <w:rPr>
          <w:color w:val="auto"/>
        </w:rPr>
      </w:pPr>
      <w:r w:rsidRPr="002C7AFF">
        <w:rPr>
          <w:color w:val="auto"/>
        </w:rPr>
        <w:t>(b) Examining the state of the dockets of the various courts and securing information as to their needs for assistance, if any, and the preparation of statistical data and reports of the business transacted by the courts;</w:t>
      </w:r>
    </w:p>
    <w:p w14:paraId="0DA7A0F9" w14:textId="77777777" w:rsidR="00D05AC1" w:rsidRPr="002C7AFF" w:rsidRDefault="00D05AC1" w:rsidP="001C1940">
      <w:pPr>
        <w:pStyle w:val="SectionBody"/>
        <w:rPr>
          <w:color w:val="auto"/>
        </w:rPr>
      </w:pPr>
      <w:r w:rsidRPr="002C7AFF">
        <w:rPr>
          <w:color w:val="auto"/>
        </w:rPr>
        <w:t>(c) The preparation of a proper budget to secure the appropriation of moneys for the maintenance, support and operation of the courts;</w:t>
      </w:r>
    </w:p>
    <w:p w14:paraId="72D734B7" w14:textId="77777777" w:rsidR="00D05AC1" w:rsidRPr="002C7AFF" w:rsidRDefault="00D05AC1" w:rsidP="001C1940">
      <w:pPr>
        <w:pStyle w:val="SectionBody"/>
        <w:rPr>
          <w:color w:val="auto"/>
        </w:rPr>
      </w:pPr>
      <w:r w:rsidRPr="002C7AFF">
        <w:rPr>
          <w:color w:val="auto"/>
        </w:rPr>
        <w:t>(d) The purchase, exchange, transfer and distribution of equipment and supplies, as may be needful or desirable;</w:t>
      </w:r>
    </w:p>
    <w:p w14:paraId="450E3C87" w14:textId="77777777" w:rsidR="00D05AC1" w:rsidRPr="002C7AFF" w:rsidRDefault="00D05AC1" w:rsidP="001C1940">
      <w:pPr>
        <w:pStyle w:val="SectionBody"/>
        <w:rPr>
          <w:color w:val="auto"/>
        </w:rPr>
      </w:pPr>
      <w:r w:rsidRPr="002C7AFF">
        <w:rPr>
          <w:color w:val="auto"/>
        </w:rPr>
        <w:t xml:space="preserve">(e) Such other matters as may be assigned to him </w:t>
      </w:r>
      <w:r w:rsidRPr="002C7AFF">
        <w:rPr>
          <w:color w:val="auto"/>
          <w:u w:val="single"/>
        </w:rPr>
        <w:t>or her</w:t>
      </w:r>
      <w:r w:rsidRPr="002C7AFF">
        <w:rPr>
          <w:color w:val="auto"/>
        </w:rPr>
        <w:t xml:space="preserve"> by the Supreme Court of Appeals. The clerks of the circuit courts, intermediate courts and courts of the justices of the peace shall comply with any and all requests made by the director or his </w:t>
      </w:r>
      <w:r w:rsidRPr="002C7AFF">
        <w:rPr>
          <w:color w:val="auto"/>
          <w:u w:val="single"/>
        </w:rPr>
        <w:t>or her</w:t>
      </w:r>
      <w:r w:rsidRPr="002C7AFF">
        <w:rPr>
          <w:color w:val="auto"/>
        </w:rPr>
        <w:t xml:space="preserve"> assistants for information and statistical data bearing on the state of the dockets of such courts, or such other information as may reflect the business transacted by them;</w:t>
      </w:r>
    </w:p>
    <w:p w14:paraId="4E34DE2F" w14:textId="77777777" w:rsidR="00D05AC1" w:rsidRPr="002C7AFF" w:rsidRDefault="00D05AC1" w:rsidP="001C1940">
      <w:pPr>
        <w:pStyle w:val="SectionBody"/>
        <w:rPr>
          <w:color w:val="auto"/>
        </w:rPr>
      </w:pPr>
      <w:r w:rsidRPr="002C7AFF">
        <w:rPr>
          <w:color w:val="auto"/>
        </w:rPr>
        <w:t>(f)</w:t>
      </w:r>
      <w:r w:rsidRPr="002C7AFF">
        <w:rPr>
          <w:i/>
          <w:iCs/>
          <w:color w:val="auto"/>
        </w:rPr>
        <w:t xml:space="preserve"> Annual report of activities and estimates of expenditures.</w:t>
      </w:r>
      <w:r w:rsidRPr="002C7AFF">
        <w:rPr>
          <w:color w:val="auto"/>
        </w:rPr>
        <w:t xml:space="preserve"> -- The director, when required to do so by the Supreme Court of Appeals, shall submit annually to the court a report of the activities of the administrative office and of the state of business of the courts, together with the statistical data compiled by him </w:t>
      </w:r>
      <w:r w:rsidRPr="002C7AFF">
        <w:rPr>
          <w:color w:val="auto"/>
          <w:u w:val="single"/>
        </w:rPr>
        <w:t>or her,</w:t>
      </w:r>
      <w:r w:rsidRPr="002C7AFF">
        <w:rPr>
          <w:color w:val="auto"/>
        </w:rPr>
        <w:t xml:space="preserve"> with his </w:t>
      </w:r>
      <w:r w:rsidRPr="002C7AFF">
        <w:rPr>
          <w:color w:val="auto"/>
          <w:u w:val="single"/>
        </w:rPr>
        <w:t>or her</w:t>
      </w:r>
      <w:r w:rsidRPr="002C7AFF">
        <w:rPr>
          <w:color w:val="auto"/>
        </w:rPr>
        <w:t xml:space="preserve"> recommendations;</w:t>
      </w:r>
    </w:p>
    <w:p w14:paraId="03BB85DF" w14:textId="65242EFC" w:rsidR="00D05AC1" w:rsidRPr="002C7AFF" w:rsidRDefault="00D05AC1" w:rsidP="001C1940">
      <w:pPr>
        <w:pStyle w:val="SectionBody"/>
        <w:rPr>
          <w:color w:val="auto"/>
        </w:rPr>
      </w:pPr>
      <w:r w:rsidRPr="002C7AFF">
        <w:rPr>
          <w:color w:val="auto"/>
        </w:rPr>
        <w:t xml:space="preserve">(g) Serve as the chair of the court security board created under the provisions of </w:t>
      </w:r>
      <w:r w:rsidR="00896028" w:rsidRPr="002C7AFF">
        <w:rPr>
          <w:color w:val="auto"/>
        </w:rPr>
        <w:t>§51-3-15</w:t>
      </w:r>
      <w:r w:rsidRPr="002C7AFF">
        <w:rPr>
          <w:color w:val="auto"/>
        </w:rPr>
        <w:t xml:space="preserve"> of this c</w:t>
      </w:r>
      <w:r w:rsidR="00896028" w:rsidRPr="002C7AFF">
        <w:rPr>
          <w:color w:val="auto"/>
        </w:rPr>
        <w:t>ode</w:t>
      </w:r>
      <w:r w:rsidRPr="002C7AFF">
        <w:rPr>
          <w:color w:val="auto"/>
        </w:rPr>
        <w:t>.</w:t>
      </w:r>
    </w:p>
    <w:p w14:paraId="78171441" w14:textId="770F453E" w:rsidR="00D05AC1" w:rsidRPr="002C7AFF" w:rsidRDefault="00D05AC1" w:rsidP="001C1940">
      <w:pPr>
        <w:pStyle w:val="SectionBody"/>
        <w:rPr>
          <w:color w:val="auto"/>
          <w:u w:val="single"/>
        </w:rPr>
      </w:pPr>
      <w:r w:rsidRPr="002C7AFF">
        <w:rPr>
          <w:color w:val="auto"/>
          <w:u w:val="single"/>
        </w:rPr>
        <w:t xml:space="preserve">(h) </w:t>
      </w:r>
      <w:r w:rsidRPr="002C7AFF">
        <w:rPr>
          <w:i/>
          <w:iCs/>
          <w:color w:val="auto"/>
          <w:u w:val="single"/>
        </w:rPr>
        <w:t>Annual report of activities of the Judicial Investigation Commission and office of Disciplinary Counsel.</w:t>
      </w:r>
      <w:r w:rsidRPr="002C7AFF">
        <w:rPr>
          <w:color w:val="auto"/>
          <w:u w:val="single"/>
        </w:rPr>
        <w:t xml:space="preserve"> --- The director, at the direction of the Supreme Court, shall obtain from the </w:t>
      </w:r>
      <w:bookmarkStart w:id="0" w:name="_Hlk126656286"/>
      <w:r w:rsidRPr="002C7AFF">
        <w:rPr>
          <w:color w:val="auto"/>
          <w:u w:val="single"/>
        </w:rPr>
        <w:t xml:space="preserve">Judicial Investigation </w:t>
      </w:r>
      <w:r w:rsidR="00D55719" w:rsidRPr="002C7AFF">
        <w:rPr>
          <w:color w:val="auto"/>
          <w:u w:val="single"/>
        </w:rPr>
        <w:t xml:space="preserve">Commission </w:t>
      </w:r>
      <w:r w:rsidRPr="002C7AFF">
        <w:rPr>
          <w:color w:val="auto"/>
          <w:u w:val="single"/>
        </w:rPr>
        <w:t xml:space="preserve">and the Office of Disciplinary Counsel </w:t>
      </w:r>
      <w:bookmarkEnd w:id="0"/>
      <w:r w:rsidRPr="002C7AFF">
        <w:rPr>
          <w:color w:val="auto"/>
          <w:u w:val="single"/>
        </w:rPr>
        <w:t xml:space="preserve">statements of charges brought against a judge of this state. The report shall be submitted to the </w:t>
      </w:r>
      <w:r w:rsidR="00D55719" w:rsidRPr="002C7AFF">
        <w:rPr>
          <w:color w:val="auto"/>
          <w:u w:val="single"/>
        </w:rPr>
        <w:t>Legislature's Joint Committee on the Judiciary, annually.</w:t>
      </w:r>
    </w:p>
    <w:p w14:paraId="2A780CB7" w14:textId="77777777" w:rsidR="00D05AC1" w:rsidRPr="002C7AFF" w:rsidRDefault="00D05AC1" w:rsidP="00CC1F3B">
      <w:pPr>
        <w:pStyle w:val="SectionBody"/>
        <w:rPr>
          <w:color w:val="auto"/>
        </w:rPr>
        <w:sectPr w:rsidR="00D05AC1" w:rsidRPr="002C7AFF" w:rsidSect="00B904CF">
          <w:type w:val="continuous"/>
          <w:pgSz w:w="12240" w:h="15840" w:code="1"/>
          <w:pgMar w:top="1440" w:right="1440" w:bottom="1440" w:left="1440" w:header="720" w:footer="720" w:gutter="0"/>
          <w:lnNumType w:countBy="1" w:restart="newSection"/>
          <w:cols w:space="720"/>
          <w:docGrid w:linePitch="360"/>
        </w:sectPr>
      </w:pPr>
    </w:p>
    <w:p w14:paraId="217702AD" w14:textId="77777777" w:rsidR="00C33014" w:rsidRPr="002C7AFF" w:rsidRDefault="00C33014" w:rsidP="00CC1F3B">
      <w:pPr>
        <w:pStyle w:val="Note"/>
        <w:rPr>
          <w:color w:val="auto"/>
        </w:rPr>
      </w:pPr>
    </w:p>
    <w:p w14:paraId="6DAE676F" w14:textId="741962AD" w:rsidR="006865E9" w:rsidRPr="002C7AFF" w:rsidRDefault="00CF1DCA" w:rsidP="00CC1F3B">
      <w:pPr>
        <w:pStyle w:val="Note"/>
        <w:rPr>
          <w:color w:val="auto"/>
        </w:rPr>
      </w:pPr>
      <w:r w:rsidRPr="002C7AFF">
        <w:rPr>
          <w:color w:val="auto"/>
        </w:rPr>
        <w:t>NOTE: The</w:t>
      </w:r>
      <w:r w:rsidR="006865E9" w:rsidRPr="002C7AFF">
        <w:rPr>
          <w:color w:val="auto"/>
        </w:rPr>
        <w:t xml:space="preserve"> purpose of this bill is to </w:t>
      </w:r>
      <w:r w:rsidR="00D55719" w:rsidRPr="002C7AFF">
        <w:rPr>
          <w:color w:val="auto"/>
        </w:rPr>
        <w:t>require a report, of the statements of charges against a judge in this state, made by Judicial Investigation Commission and the Office of Disciplinary Counsel to be sent, annually, to the Legislature's Joint Committee on the Judiciary.</w:t>
      </w:r>
    </w:p>
    <w:p w14:paraId="56C2FD31" w14:textId="77777777" w:rsidR="006865E9" w:rsidRPr="002C7AFF" w:rsidRDefault="00AE48A0" w:rsidP="00CC1F3B">
      <w:pPr>
        <w:pStyle w:val="Note"/>
        <w:rPr>
          <w:color w:val="auto"/>
        </w:rPr>
      </w:pPr>
      <w:r w:rsidRPr="002C7AFF">
        <w:rPr>
          <w:color w:val="auto"/>
        </w:rPr>
        <w:t>Strike-throughs indicate language that would be stricken from a heading or the present law and underscoring indicates new language that would be added.</w:t>
      </w:r>
    </w:p>
    <w:sectPr w:rsidR="006865E9" w:rsidRPr="002C7AFF" w:rsidSect="00A26C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7CC0" w14:textId="77777777" w:rsidR="00301833" w:rsidRPr="00B844FE" w:rsidRDefault="00301833" w:rsidP="00B844FE">
      <w:r>
        <w:separator/>
      </w:r>
    </w:p>
  </w:endnote>
  <w:endnote w:type="continuationSeparator" w:id="0">
    <w:p w14:paraId="1B587167" w14:textId="77777777" w:rsidR="00301833" w:rsidRPr="00B844FE" w:rsidRDefault="003018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13FC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BE91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5404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C248" w14:textId="77777777" w:rsidR="005D5590" w:rsidRDefault="005D5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21FC" w14:textId="77777777" w:rsidR="00301833" w:rsidRPr="00B844FE" w:rsidRDefault="00301833" w:rsidP="00B844FE">
      <w:r>
        <w:separator/>
      </w:r>
    </w:p>
  </w:footnote>
  <w:footnote w:type="continuationSeparator" w:id="0">
    <w:p w14:paraId="041D14EE" w14:textId="77777777" w:rsidR="00301833" w:rsidRPr="00B844FE" w:rsidRDefault="003018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DDC1" w14:textId="77777777" w:rsidR="002A0269" w:rsidRPr="00B844FE" w:rsidRDefault="004A16FE">
    <w:pPr>
      <w:pStyle w:val="Header"/>
    </w:pPr>
    <w:sdt>
      <w:sdtPr>
        <w:id w:val="-684364211"/>
        <w:placeholder>
          <w:docPart w:val="E3677700ADD144BA875A02D6FE03D6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677700ADD144BA875A02D6FE03D6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F6B5" w14:textId="68443B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018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1833">
          <w:rPr>
            <w:sz w:val="22"/>
            <w:szCs w:val="22"/>
          </w:rPr>
          <w:t>20</w:t>
        </w:r>
        <w:r w:rsidR="00463F23">
          <w:rPr>
            <w:sz w:val="22"/>
            <w:szCs w:val="22"/>
          </w:rPr>
          <w:t>24R2581</w:t>
        </w:r>
      </w:sdtContent>
    </w:sdt>
  </w:p>
  <w:p w14:paraId="59003A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F8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3927609">
    <w:abstractNumId w:val="0"/>
  </w:num>
  <w:num w:numId="2" w16cid:durableId="210121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33"/>
    <w:rsid w:val="0000526A"/>
    <w:rsid w:val="000573A9"/>
    <w:rsid w:val="00085D22"/>
    <w:rsid w:val="00093AB0"/>
    <w:rsid w:val="000C5C77"/>
    <w:rsid w:val="000E3912"/>
    <w:rsid w:val="000E7ED1"/>
    <w:rsid w:val="0010070F"/>
    <w:rsid w:val="0015112E"/>
    <w:rsid w:val="001552E7"/>
    <w:rsid w:val="001566B4"/>
    <w:rsid w:val="001A66B7"/>
    <w:rsid w:val="001C279E"/>
    <w:rsid w:val="001D459E"/>
    <w:rsid w:val="0022348D"/>
    <w:rsid w:val="0027011C"/>
    <w:rsid w:val="00274200"/>
    <w:rsid w:val="00275740"/>
    <w:rsid w:val="002A0269"/>
    <w:rsid w:val="002C7AFF"/>
    <w:rsid w:val="00301833"/>
    <w:rsid w:val="00303684"/>
    <w:rsid w:val="003143F5"/>
    <w:rsid w:val="00314854"/>
    <w:rsid w:val="00394191"/>
    <w:rsid w:val="003C51CD"/>
    <w:rsid w:val="003C6034"/>
    <w:rsid w:val="00400B5C"/>
    <w:rsid w:val="004368E0"/>
    <w:rsid w:val="00463F23"/>
    <w:rsid w:val="004A16FE"/>
    <w:rsid w:val="004C13DD"/>
    <w:rsid w:val="004D3ABE"/>
    <w:rsid w:val="004E3441"/>
    <w:rsid w:val="00500579"/>
    <w:rsid w:val="005A5366"/>
    <w:rsid w:val="005D5590"/>
    <w:rsid w:val="00617A09"/>
    <w:rsid w:val="006369EB"/>
    <w:rsid w:val="00637E73"/>
    <w:rsid w:val="006865E9"/>
    <w:rsid w:val="00686E9A"/>
    <w:rsid w:val="00691F3E"/>
    <w:rsid w:val="00694BFB"/>
    <w:rsid w:val="006A106B"/>
    <w:rsid w:val="006C523D"/>
    <w:rsid w:val="006D4036"/>
    <w:rsid w:val="0072520B"/>
    <w:rsid w:val="007A5259"/>
    <w:rsid w:val="007A7081"/>
    <w:rsid w:val="007F1CF5"/>
    <w:rsid w:val="00834EDE"/>
    <w:rsid w:val="008736AA"/>
    <w:rsid w:val="00896028"/>
    <w:rsid w:val="008D275D"/>
    <w:rsid w:val="00980327"/>
    <w:rsid w:val="00986478"/>
    <w:rsid w:val="009B5557"/>
    <w:rsid w:val="009F1067"/>
    <w:rsid w:val="00A26C10"/>
    <w:rsid w:val="00A31E01"/>
    <w:rsid w:val="00A527AD"/>
    <w:rsid w:val="00A718CF"/>
    <w:rsid w:val="00AE48A0"/>
    <w:rsid w:val="00AE61BE"/>
    <w:rsid w:val="00B16F25"/>
    <w:rsid w:val="00B24422"/>
    <w:rsid w:val="00B66B81"/>
    <w:rsid w:val="00B71E6F"/>
    <w:rsid w:val="00B80C20"/>
    <w:rsid w:val="00B844FE"/>
    <w:rsid w:val="00B86B4F"/>
    <w:rsid w:val="00B904CF"/>
    <w:rsid w:val="00BA1F84"/>
    <w:rsid w:val="00BC562B"/>
    <w:rsid w:val="00C33014"/>
    <w:rsid w:val="00C33434"/>
    <w:rsid w:val="00C34869"/>
    <w:rsid w:val="00C42EB6"/>
    <w:rsid w:val="00C85096"/>
    <w:rsid w:val="00CB20EF"/>
    <w:rsid w:val="00CC1F3B"/>
    <w:rsid w:val="00CD12CB"/>
    <w:rsid w:val="00CD36CF"/>
    <w:rsid w:val="00CF1DCA"/>
    <w:rsid w:val="00D05AC1"/>
    <w:rsid w:val="00D55719"/>
    <w:rsid w:val="00D579FC"/>
    <w:rsid w:val="00D81C16"/>
    <w:rsid w:val="00DE526B"/>
    <w:rsid w:val="00DF199D"/>
    <w:rsid w:val="00E01542"/>
    <w:rsid w:val="00E31CEC"/>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7416E"/>
  <w15:chartTrackingRefBased/>
  <w15:docId w15:val="{C5FCDB45-4CE6-48E8-B60F-1C062F4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5AC1"/>
    <w:rPr>
      <w:rFonts w:eastAsia="Calibri"/>
      <w:b/>
      <w:caps/>
      <w:color w:val="000000"/>
      <w:sz w:val="24"/>
    </w:rPr>
  </w:style>
  <w:style w:type="character" w:customStyle="1" w:styleId="SectionBodyChar">
    <w:name w:val="Section Body Char"/>
    <w:link w:val="SectionBody"/>
    <w:rsid w:val="00D05AC1"/>
    <w:rPr>
      <w:rFonts w:eastAsia="Calibri"/>
      <w:color w:val="000000"/>
    </w:rPr>
  </w:style>
  <w:style w:type="character" w:customStyle="1" w:styleId="SectionHeadingChar">
    <w:name w:val="Section Heading Char"/>
    <w:link w:val="SectionHeading"/>
    <w:rsid w:val="00D05AC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25DC1A19C34CA9A7DCC61F12E17099"/>
        <w:category>
          <w:name w:val="General"/>
          <w:gallery w:val="placeholder"/>
        </w:category>
        <w:types>
          <w:type w:val="bbPlcHdr"/>
        </w:types>
        <w:behaviors>
          <w:behavior w:val="content"/>
        </w:behaviors>
        <w:guid w:val="{9774EBD3-B6A6-4ECC-B864-9A6217A11987}"/>
      </w:docPartPr>
      <w:docPartBody>
        <w:p w:rsidR="00E5730D" w:rsidRDefault="00E5730D">
          <w:pPr>
            <w:pStyle w:val="7A25DC1A19C34CA9A7DCC61F12E17099"/>
          </w:pPr>
          <w:r w:rsidRPr="00B844FE">
            <w:t>Prefix Text</w:t>
          </w:r>
        </w:p>
      </w:docPartBody>
    </w:docPart>
    <w:docPart>
      <w:docPartPr>
        <w:name w:val="E3677700ADD144BA875A02D6FE03D6C0"/>
        <w:category>
          <w:name w:val="General"/>
          <w:gallery w:val="placeholder"/>
        </w:category>
        <w:types>
          <w:type w:val="bbPlcHdr"/>
        </w:types>
        <w:behaviors>
          <w:behavior w:val="content"/>
        </w:behaviors>
        <w:guid w:val="{A82B21C0-5EE3-47A1-A887-579F5700FAE4}"/>
      </w:docPartPr>
      <w:docPartBody>
        <w:p w:rsidR="00E5730D" w:rsidRDefault="00E5730D">
          <w:pPr>
            <w:pStyle w:val="E3677700ADD144BA875A02D6FE03D6C0"/>
          </w:pPr>
          <w:r w:rsidRPr="00B844FE">
            <w:t>[Type here]</w:t>
          </w:r>
        </w:p>
      </w:docPartBody>
    </w:docPart>
    <w:docPart>
      <w:docPartPr>
        <w:name w:val="BFBE716019D14D18A8C5B3F8E6A1AE68"/>
        <w:category>
          <w:name w:val="General"/>
          <w:gallery w:val="placeholder"/>
        </w:category>
        <w:types>
          <w:type w:val="bbPlcHdr"/>
        </w:types>
        <w:behaviors>
          <w:behavior w:val="content"/>
        </w:behaviors>
        <w:guid w:val="{C2703B1E-24B7-4464-AB05-FAF2D2A40861}"/>
      </w:docPartPr>
      <w:docPartBody>
        <w:p w:rsidR="00E5730D" w:rsidRDefault="00E5730D">
          <w:pPr>
            <w:pStyle w:val="BFBE716019D14D18A8C5B3F8E6A1AE68"/>
          </w:pPr>
          <w:r w:rsidRPr="00B844FE">
            <w:t>Number</w:t>
          </w:r>
        </w:p>
      </w:docPartBody>
    </w:docPart>
    <w:docPart>
      <w:docPartPr>
        <w:name w:val="E4641651B3A64ECEB02766FBA91CA2C6"/>
        <w:category>
          <w:name w:val="General"/>
          <w:gallery w:val="placeholder"/>
        </w:category>
        <w:types>
          <w:type w:val="bbPlcHdr"/>
        </w:types>
        <w:behaviors>
          <w:behavior w:val="content"/>
        </w:behaviors>
        <w:guid w:val="{C54A2676-A7CF-4B48-AFA5-FDE7052B80A5}"/>
      </w:docPartPr>
      <w:docPartBody>
        <w:p w:rsidR="00E5730D" w:rsidRDefault="00E5730D">
          <w:pPr>
            <w:pStyle w:val="E4641651B3A64ECEB02766FBA91CA2C6"/>
          </w:pPr>
          <w:r w:rsidRPr="00B844FE">
            <w:t>Enter Sponsors Here</w:t>
          </w:r>
        </w:p>
      </w:docPartBody>
    </w:docPart>
    <w:docPart>
      <w:docPartPr>
        <w:name w:val="EB8993959F82434299118D91E6FCF8EE"/>
        <w:category>
          <w:name w:val="General"/>
          <w:gallery w:val="placeholder"/>
        </w:category>
        <w:types>
          <w:type w:val="bbPlcHdr"/>
        </w:types>
        <w:behaviors>
          <w:behavior w:val="content"/>
        </w:behaviors>
        <w:guid w:val="{850E8DCA-72CD-4022-89D4-BED259FB2AF0}"/>
      </w:docPartPr>
      <w:docPartBody>
        <w:p w:rsidR="00E5730D" w:rsidRDefault="00E5730D">
          <w:pPr>
            <w:pStyle w:val="EB8993959F82434299118D91E6FCF8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0D"/>
    <w:rsid w:val="00E5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25DC1A19C34CA9A7DCC61F12E17099">
    <w:name w:val="7A25DC1A19C34CA9A7DCC61F12E17099"/>
  </w:style>
  <w:style w:type="paragraph" w:customStyle="1" w:styleId="E3677700ADD144BA875A02D6FE03D6C0">
    <w:name w:val="E3677700ADD144BA875A02D6FE03D6C0"/>
  </w:style>
  <w:style w:type="paragraph" w:customStyle="1" w:styleId="BFBE716019D14D18A8C5B3F8E6A1AE68">
    <w:name w:val="BFBE716019D14D18A8C5B3F8E6A1AE68"/>
  </w:style>
  <w:style w:type="paragraph" w:customStyle="1" w:styleId="E4641651B3A64ECEB02766FBA91CA2C6">
    <w:name w:val="E4641651B3A64ECEB02766FBA91CA2C6"/>
  </w:style>
  <w:style w:type="character" w:styleId="PlaceholderText">
    <w:name w:val="Placeholder Text"/>
    <w:basedOn w:val="DefaultParagraphFont"/>
    <w:uiPriority w:val="99"/>
    <w:semiHidden/>
    <w:rPr>
      <w:color w:val="808080"/>
    </w:rPr>
  </w:style>
  <w:style w:type="paragraph" w:customStyle="1" w:styleId="EB8993959F82434299118D91E6FCF8EE">
    <w:name w:val="EB8993959F82434299118D91E6FCF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2024-01-29T13:54:00Z</dcterms:created>
  <dcterms:modified xsi:type="dcterms:W3CDTF">2024-01-29T13:54:00Z</dcterms:modified>
</cp:coreProperties>
</file>